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409A2">
      <w:pPr>
        <w:pStyle w:val="5"/>
        <w:keepNext w:val="0"/>
        <w:keepLines w:val="0"/>
        <w:pageBreakBefore w:val="0"/>
        <w:widowControl/>
        <w:shd w:val="clear" w:color="auto" w:fill="FFFFFF"/>
        <w:kinsoku/>
        <w:wordWrap/>
        <w:overflowPunct/>
        <w:topLinePunct w:val="0"/>
        <w:autoSpaceDE/>
        <w:autoSpaceDN/>
        <w:bidi w:val="0"/>
        <w:adjustRightInd/>
        <w:snapToGrid/>
        <w:spacing w:before="313" w:beforeLines="100" w:beforeAutospacing="0" w:after="157" w:afterLines="50" w:afterAutospacing="0" w:line="560" w:lineRule="exact"/>
        <w:jc w:val="center"/>
        <w:textAlignment w:val="auto"/>
        <w:rPr>
          <w:rStyle w:val="8"/>
          <w:rFonts w:hint="eastAsia" w:ascii="方正小标宋简体" w:hAnsi="方正小标宋简体" w:eastAsia="方正小标宋简体" w:cs="方正小标宋简体"/>
          <w:b/>
          <w:bCs w:val="0"/>
          <w:color w:val="auto"/>
          <w:sz w:val="44"/>
          <w:szCs w:val="44"/>
          <w:highlight w:val="none"/>
          <w:shd w:val="clear" w:color="auto" w:fill="FFFFFF"/>
        </w:rPr>
      </w:pPr>
      <w:r>
        <w:rPr>
          <w:rStyle w:val="8"/>
          <w:rFonts w:hint="eastAsia" w:ascii="方正小标宋简体" w:hAnsi="方正小标宋简体" w:eastAsia="方正小标宋简体" w:cs="方正小标宋简体"/>
          <w:b/>
          <w:bCs w:val="0"/>
          <w:color w:val="auto"/>
          <w:sz w:val="44"/>
          <w:szCs w:val="44"/>
          <w:highlight w:val="none"/>
          <w:shd w:val="clear" w:color="auto" w:fill="FFFFFF"/>
        </w:rPr>
        <w:t>贵阳信息科技学院简介</w:t>
      </w:r>
    </w:p>
    <w:p w14:paraId="05C9B7D4">
      <w:pPr>
        <w:pStyle w:val="5"/>
        <w:keepNext w:val="0"/>
        <w:keepLines w:val="0"/>
        <w:pageBreakBefore w:val="0"/>
        <w:widowControl/>
        <w:shd w:val="clear" w:color="auto" w:fill="FFFFFF"/>
        <w:kinsoku/>
        <w:wordWrap/>
        <w:overflowPunct/>
        <w:topLinePunct w:val="0"/>
        <w:autoSpaceDE/>
        <w:autoSpaceDN/>
        <w:bidi w:val="0"/>
        <w:adjustRightInd/>
        <w:snapToGrid w:val="0"/>
        <w:spacing w:before="157" w:beforeLines="50" w:beforeAutospacing="0" w:afterAutospacing="0" w:line="560" w:lineRule="exact"/>
        <w:ind w:firstLine="601"/>
        <w:textAlignment w:val="baseline"/>
        <w:rPr>
          <w:rFonts w:hint="eastAsia" w:ascii="仿宋_GB2312" w:hAnsi="仿宋_GB2312" w:eastAsia="仿宋_GB2312" w:cs="仿宋_GB2312"/>
          <w:color w:val="auto"/>
          <w:sz w:val="32"/>
          <w:szCs w:val="32"/>
          <w:highlight w:val="none"/>
          <w:shd w:val="clear" w:color="auto" w:fill="FFFFFF"/>
        </w:rPr>
      </w:pPr>
      <w:bookmarkStart w:id="0" w:name="_GoBack"/>
      <w:bookmarkEnd w:id="0"/>
      <w:r>
        <w:rPr>
          <w:rFonts w:hint="eastAsia" w:ascii="仿宋_GB2312" w:hAnsi="仿宋_GB2312" w:eastAsia="仿宋_GB2312" w:cs="仿宋_GB2312"/>
          <w:color w:val="auto"/>
          <w:sz w:val="32"/>
          <w:szCs w:val="32"/>
          <w:highlight w:val="none"/>
          <w:shd w:val="clear" w:color="auto" w:fill="FFFFFF"/>
        </w:rPr>
        <w:t>贵阳信息科技学院（</w:t>
      </w:r>
      <w:r>
        <w:rPr>
          <w:rFonts w:hint="eastAsia" w:ascii="仿宋_GB2312" w:hAnsi="仿宋_GB2312" w:eastAsia="仿宋_GB2312" w:cs="仿宋_GB2312"/>
          <w:color w:val="auto"/>
          <w:kern w:val="2"/>
          <w:sz w:val="32"/>
          <w:szCs w:val="32"/>
          <w:highlight w:val="none"/>
        </w:rPr>
        <w:t>Guiyang Institute of Information Science and Technology</w:t>
      </w:r>
      <w:r>
        <w:rPr>
          <w:rFonts w:hint="eastAsia" w:ascii="仿宋_GB2312" w:hAnsi="仿宋_GB2312" w:eastAsia="仿宋_GB2312" w:cs="仿宋_GB2312"/>
          <w:color w:val="auto"/>
          <w:sz w:val="32"/>
          <w:szCs w:val="32"/>
          <w:highlight w:val="none"/>
          <w:shd w:val="clear" w:color="auto" w:fill="FFFFFF"/>
        </w:rPr>
        <w:t>）坐落于贵州省</w:t>
      </w:r>
      <w:r>
        <w:rPr>
          <w:rFonts w:hint="eastAsia" w:ascii="仿宋_GB2312" w:hAnsi="仿宋_GB2312" w:eastAsia="仿宋_GB2312" w:cs="仿宋_GB2312"/>
          <w:color w:val="auto"/>
          <w:sz w:val="32"/>
          <w:szCs w:val="32"/>
          <w:highlight w:val="none"/>
          <w:shd w:val="clear" w:color="auto" w:fill="FFFFFF"/>
          <w:lang w:val="en-US" w:eastAsia="zh-CN"/>
        </w:rPr>
        <w:t>贵阳市</w:t>
      </w:r>
      <w:r>
        <w:rPr>
          <w:rFonts w:hint="eastAsia" w:ascii="仿宋_GB2312" w:hAnsi="仿宋_GB2312" w:eastAsia="仿宋_GB2312" w:cs="仿宋_GB2312"/>
          <w:color w:val="auto"/>
          <w:sz w:val="32"/>
          <w:szCs w:val="32"/>
          <w:highlight w:val="none"/>
          <w:shd w:val="clear" w:color="auto" w:fill="FFFFFF"/>
        </w:rPr>
        <w:t>贵安新区花溪大学城思雅路8号，毗邻被誉为“高原明珠”的贵州风景名胜地花溪区和东盟国际交流周永久会址，是经中华人民共和国教育部批准独立设置的本科层次民办普通高等学校。</w:t>
      </w:r>
    </w:p>
    <w:p w14:paraId="7B100713">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w:t>
      </w:r>
      <w:r>
        <w:rPr>
          <w:rFonts w:hint="eastAsia" w:ascii="仿宋_GB2312" w:hAnsi="仿宋_GB2312" w:eastAsia="仿宋_GB2312" w:cs="仿宋_GB2312"/>
          <w:color w:val="auto"/>
          <w:sz w:val="32"/>
          <w:szCs w:val="32"/>
          <w:highlight w:val="none"/>
          <w:shd w:val="clear" w:color="auto" w:fill="FFFFFF"/>
          <w:lang w:val="en-US" w:eastAsia="zh-CN"/>
        </w:rPr>
        <w:t>创建于2001年，历经</w:t>
      </w:r>
      <w:r>
        <w:rPr>
          <w:rFonts w:hint="eastAsia" w:ascii="仿宋_GB2312" w:hAnsi="仿宋_GB2312" w:eastAsia="仿宋_GB2312" w:cs="仿宋_GB2312"/>
          <w:color w:val="auto"/>
          <w:sz w:val="32"/>
          <w:szCs w:val="32"/>
          <w:highlight w:val="none"/>
          <w:shd w:val="clear" w:color="auto" w:fill="FFFFFF"/>
        </w:rPr>
        <w:t>贵州工业大学国际合作学院</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贵州工业大学</w:t>
      </w:r>
      <w:r>
        <w:rPr>
          <w:rFonts w:hint="eastAsia" w:ascii="仿宋_GB2312" w:hAnsi="仿宋_GB2312" w:eastAsia="仿宋_GB2312" w:cs="仿宋_GB2312"/>
          <w:color w:val="auto"/>
          <w:sz w:val="32"/>
          <w:szCs w:val="32"/>
          <w:highlight w:val="none"/>
          <w:shd w:val="clear" w:color="auto" w:fill="FFFFFF"/>
          <w:lang w:val="en-US" w:eastAsia="zh-CN"/>
        </w:rPr>
        <w:t>明德学院、</w:t>
      </w:r>
      <w:r>
        <w:rPr>
          <w:rFonts w:hint="eastAsia" w:ascii="仿宋_GB2312" w:hAnsi="仿宋_GB2312" w:eastAsia="仿宋_GB2312" w:cs="仿宋_GB2312"/>
          <w:color w:val="auto"/>
          <w:sz w:val="32"/>
          <w:szCs w:val="32"/>
          <w:highlight w:val="none"/>
          <w:shd w:val="clear" w:color="auto" w:fill="FFFFFF"/>
        </w:rPr>
        <w:t>贵州大学明德学院</w:t>
      </w:r>
      <w:r>
        <w:rPr>
          <w:rFonts w:hint="eastAsia" w:ascii="仿宋_GB2312" w:hAnsi="仿宋_GB2312" w:eastAsia="仿宋_GB2312" w:cs="仿宋_GB2312"/>
          <w:color w:val="auto"/>
          <w:sz w:val="32"/>
          <w:szCs w:val="32"/>
          <w:highlight w:val="none"/>
          <w:shd w:val="clear" w:color="auto" w:fill="FFFFFF"/>
          <w:lang w:val="en-US" w:eastAsia="zh-CN"/>
        </w:rPr>
        <w:t>等时期</w:t>
      </w:r>
      <w:r>
        <w:rPr>
          <w:rFonts w:hint="eastAsia" w:ascii="仿宋_GB2312" w:hAnsi="仿宋_GB2312" w:eastAsia="仿宋_GB2312" w:cs="仿宋_GB2312"/>
          <w:color w:val="auto"/>
          <w:sz w:val="32"/>
          <w:szCs w:val="32"/>
          <w:highlight w:val="none"/>
          <w:shd w:val="clear" w:color="auto" w:fill="FFFFFF"/>
        </w:rPr>
        <w:t>；2013年9月贵州大学与泰豪集团签订合作协议共同</w:t>
      </w:r>
      <w:r>
        <w:rPr>
          <w:rFonts w:hint="eastAsia" w:ascii="仿宋_GB2312" w:hAnsi="仿宋_GB2312" w:eastAsia="仿宋_GB2312" w:cs="仿宋_GB2312"/>
          <w:color w:val="auto"/>
          <w:sz w:val="32"/>
          <w:szCs w:val="32"/>
          <w:highlight w:val="none"/>
          <w:shd w:val="clear" w:color="auto" w:fill="FFFFFF"/>
          <w:lang w:val="en-US" w:eastAsia="zh-CN"/>
        </w:rPr>
        <w:t>办学</w:t>
      </w:r>
      <w:r>
        <w:rPr>
          <w:rFonts w:hint="eastAsia" w:ascii="仿宋_GB2312" w:hAnsi="仿宋_GB2312" w:eastAsia="仿宋_GB2312" w:cs="仿宋_GB2312"/>
          <w:color w:val="auto"/>
          <w:sz w:val="32"/>
          <w:szCs w:val="32"/>
          <w:highlight w:val="none"/>
          <w:shd w:val="clear" w:color="auto" w:fill="FFFFFF"/>
        </w:rPr>
        <w:t>；2021年5月经教育部批准，正式转设</w:t>
      </w:r>
      <w:r>
        <w:rPr>
          <w:rFonts w:hint="eastAsia" w:ascii="仿宋_GB2312" w:hAnsi="仿宋_GB2312" w:eastAsia="仿宋_GB2312" w:cs="仿宋_GB2312"/>
          <w:color w:val="auto"/>
          <w:sz w:val="32"/>
          <w:szCs w:val="32"/>
          <w:highlight w:val="none"/>
          <w:shd w:val="clear" w:color="auto" w:fill="FFFFFF"/>
          <w:lang w:val="en-US" w:eastAsia="zh-CN"/>
        </w:rPr>
        <w:t>更名</w:t>
      </w:r>
      <w:r>
        <w:rPr>
          <w:rFonts w:hint="eastAsia" w:ascii="仿宋_GB2312" w:hAnsi="仿宋_GB2312" w:eastAsia="仿宋_GB2312" w:cs="仿宋_GB2312"/>
          <w:color w:val="auto"/>
          <w:sz w:val="32"/>
          <w:szCs w:val="32"/>
          <w:highlight w:val="none"/>
          <w:shd w:val="clear" w:color="auto" w:fill="FFFFFF"/>
        </w:rPr>
        <w:t>为贵阳信息科技学院；2022年8月，江西省委宣传部全资企业江西文演集团与泰豪集团达成合作，共同举办贵阳信息科技学院，开启了学校“国有民办”的新模式和高质量发展的新篇章。</w:t>
      </w:r>
    </w:p>
    <w:p w14:paraId="1C77C17D">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学校全面贯彻党的教育方针，自2001年创建以来始终坚持社会主义办学方向，坚持立德树人根本任务</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以社会需求为导向，以改革</w:t>
      </w:r>
      <w:r>
        <w:rPr>
          <w:rFonts w:hint="eastAsia" w:ascii="仿宋_GB2312" w:hAnsi="仿宋_GB2312" w:eastAsia="仿宋_GB2312" w:cs="仿宋_GB2312"/>
          <w:color w:val="auto"/>
          <w:sz w:val="32"/>
          <w:szCs w:val="32"/>
          <w:highlight w:val="none"/>
          <w:shd w:val="clear" w:color="auto" w:fill="FFFFFF"/>
          <w:lang w:val="en-US" w:eastAsia="zh-CN"/>
        </w:rPr>
        <w:t>发展</w:t>
      </w:r>
      <w:r>
        <w:rPr>
          <w:rFonts w:hint="eastAsia" w:ascii="仿宋_GB2312" w:hAnsi="仿宋_GB2312" w:eastAsia="仿宋_GB2312" w:cs="仿宋_GB2312"/>
          <w:color w:val="auto"/>
          <w:sz w:val="32"/>
          <w:szCs w:val="32"/>
          <w:highlight w:val="none"/>
          <w:shd w:val="clear" w:color="auto" w:fill="FFFFFF"/>
        </w:rPr>
        <w:t>为动力，遵循教育教学规律，注重内涵发展</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秉承价值塑造、能力培养、知识传授、模范引领“四位一体”的育人理念</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深化产教融合、校企合作、工学结合</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促进教育链、人才链与产业链、创新链有机衔接，为社会主义事业培养合格的建设者和可靠接班人。</w:t>
      </w:r>
    </w:p>
    <w:p w14:paraId="143763AC">
      <w:pPr>
        <w:pStyle w:val="5"/>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560" w:lineRule="exact"/>
        <w:ind w:firstLine="600"/>
        <w:jc w:val="both"/>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w:t>
      </w:r>
      <w:r>
        <w:rPr>
          <w:rFonts w:hint="eastAsia" w:ascii="仿宋_GB2312" w:hAnsi="仿宋_GB2312" w:eastAsia="仿宋_GB2312" w:cs="仿宋_GB2312"/>
          <w:color w:val="auto"/>
          <w:sz w:val="32"/>
          <w:szCs w:val="32"/>
          <w:highlight w:val="none"/>
          <w:shd w:val="clear" w:color="auto" w:fill="FFFFFF"/>
          <w:lang w:val="en-US" w:eastAsia="zh-CN"/>
        </w:rPr>
        <w:t>现有</w:t>
      </w:r>
      <w:r>
        <w:rPr>
          <w:rFonts w:hint="eastAsia" w:ascii="仿宋_GB2312" w:hAnsi="仿宋_GB2312" w:eastAsia="仿宋_GB2312" w:cs="仿宋_GB2312"/>
          <w:color w:val="auto"/>
          <w:sz w:val="32"/>
          <w:szCs w:val="32"/>
          <w:highlight w:val="none"/>
          <w:shd w:val="clear" w:color="auto" w:fill="FFFFFF"/>
        </w:rPr>
        <w:t>在</w:t>
      </w:r>
      <w:r>
        <w:rPr>
          <w:rFonts w:hint="eastAsia" w:ascii="仿宋_GB2312" w:hAnsi="仿宋_GB2312" w:eastAsia="仿宋_GB2312" w:cs="仿宋_GB2312"/>
          <w:color w:val="auto"/>
          <w:sz w:val="32"/>
          <w:szCs w:val="32"/>
          <w:highlight w:val="none"/>
          <w:shd w:val="clear" w:color="auto" w:fill="FFFFFF"/>
          <w:lang w:val="en-US" w:eastAsia="zh-CN"/>
        </w:rPr>
        <w:t>校生16600余人，教职工1000余人。学校教学生活设施完善，教学科研仪器设备总值1亿余元，图书馆藏书99.95万册（纸质图书：91.95万册，电子书：8</w:t>
      </w:r>
      <w:r>
        <w:rPr>
          <w:rFonts w:hint="eastAsia" w:ascii="仿宋_GB2312" w:hAnsi="仿宋_GB2312" w:eastAsia="仿宋_GB2312" w:cs="仿宋_GB2312"/>
          <w:color w:val="auto"/>
          <w:sz w:val="32"/>
          <w:szCs w:val="32"/>
          <w:highlight w:val="none"/>
          <w:shd w:val="clear" w:color="auto" w:fill="FFFFFF"/>
        </w:rPr>
        <w:t>万</w:t>
      </w:r>
      <w:r>
        <w:rPr>
          <w:rFonts w:hint="eastAsia" w:ascii="仿宋_GB2312" w:hAnsi="仿宋_GB2312" w:eastAsia="仿宋_GB2312" w:cs="仿宋_GB2312"/>
          <w:color w:val="auto"/>
          <w:sz w:val="32"/>
          <w:szCs w:val="32"/>
          <w:highlight w:val="none"/>
          <w:shd w:val="clear" w:color="auto" w:fill="FFFFFF"/>
          <w:lang w:val="en-US" w:eastAsia="zh-CN"/>
        </w:rPr>
        <w:t>种）</w:t>
      </w:r>
      <w:r>
        <w:rPr>
          <w:rFonts w:hint="eastAsia" w:ascii="仿宋_GB2312" w:hAnsi="仿宋_GB2312" w:eastAsia="仿宋_GB2312" w:cs="仿宋_GB2312"/>
          <w:color w:val="auto"/>
          <w:sz w:val="32"/>
          <w:szCs w:val="32"/>
          <w:highlight w:val="none"/>
          <w:shd w:val="clear" w:color="auto" w:fill="FFFFFF"/>
        </w:rPr>
        <w:t>。各类实验实训室</w:t>
      </w:r>
      <w:r>
        <w:rPr>
          <w:rFonts w:hint="eastAsia" w:ascii="仿宋_GB2312" w:hAnsi="仿宋_GB2312" w:eastAsia="仿宋_GB2312" w:cs="仿宋_GB2312"/>
          <w:color w:val="auto"/>
          <w:sz w:val="32"/>
          <w:szCs w:val="32"/>
          <w:highlight w:val="none"/>
          <w:shd w:val="clear" w:color="auto" w:fill="FFFFFF"/>
          <w:lang w:val="en-US" w:eastAsia="zh-CN"/>
        </w:rPr>
        <w:t>40个</w:t>
      </w:r>
      <w:r>
        <w:rPr>
          <w:rFonts w:hint="eastAsia" w:ascii="仿宋_GB2312" w:hAnsi="仿宋_GB2312" w:eastAsia="仿宋_GB2312" w:cs="仿宋_GB2312"/>
          <w:color w:val="auto"/>
          <w:sz w:val="32"/>
          <w:szCs w:val="32"/>
          <w:highlight w:val="none"/>
          <w:shd w:val="clear" w:color="auto" w:fill="FFFFFF"/>
        </w:rPr>
        <w:t>，校内外实践实训教学基地</w:t>
      </w:r>
      <w:r>
        <w:rPr>
          <w:rFonts w:hint="eastAsia" w:ascii="仿宋_GB2312" w:hAnsi="仿宋_GB2312" w:eastAsia="仿宋_GB2312" w:cs="仿宋_GB2312"/>
          <w:color w:val="auto"/>
          <w:sz w:val="32"/>
          <w:szCs w:val="32"/>
          <w:highlight w:val="none"/>
          <w:shd w:val="clear" w:color="auto" w:fill="FFFFFF"/>
          <w:lang w:val="en-US" w:eastAsia="zh-CN"/>
        </w:rPr>
        <w:t>268</w:t>
      </w:r>
      <w:r>
        <w:rPr>
          <w:rFonts w:hint="eastAsia" w:ascii="仿宋_GB2312" w:hAnsi="仿宋_GB2312" w:eastAsia="仿宋_GB2312" w:cs="仿宋_GB2312"/>
          <w:color w:val="auto"/>
          <w:sz w:val="32"/>
          <w:szCs w:val="32"/>
          <w:highlight w:val="none"/>
          <w:shd w:val="clear" w:color="auto" w:fill="FFFFFF"/>
        </w:rPr>
        <w:t>个。</w:t>
      </w:r>
    </w:p>
    <w:p w14:paraId="5ABD6DB0">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围绕国家和贵州省新兴产业发展需求，紧扣围绕“四新”主攻“四化”主战略和“四区一高地”主定位，按照“不管公办民办都是党办”的工作思路，持续推进“五级书记抓党建”工作落实，有力确保学校各项工作高质量发展。</w:t>
      </w:r>
      <w:r>
        <w:rPr>
          <w:rFonts w:hint="eastAsia" w:ascii="仿宋_GB2312" w:hAnsi="仿宋_GB2312" w:eastAsia="仿宋_GB2312" w:cs="仿宋_GB2312"/>
          <w:color w:val="auto"/>
          <w:sz w:val="32"/>
          <w:szCs w:val="32"/>
          <w:highlight w:val="none"/>
          <w:shd w:val="clear" w:color="auto" w:fill="FFFFFF"/>
          <w:lang w:val="en-US" w:eastAsia="zh-CN"/>
        </w:rPr>
        <w:t>依托</w:t>
      </w:r>
      <w:r>
        <w:rPr>
          <w:rFonts w:hint="eastAsia" w:ascii="仿宋_GB2312" w:hAnsi="仿宋_GB2312" w:eastAsia="仿宋_GB2312" w:cs="仿宋_GB2312"/>
          <w:color w:val="auto"/>
          <w:sz w:val="32"/>
          <w:szCs w:val="32"/>
          <w:highlight w:val="none"/>
          <w:shd w:val="clear" w:color="auto" w:fill="FFFFFF"/>
        </w:rPr>
        <w:t>“3+1”应用型人才培养</w:t>
      </w:r>
      <w:r>
        <w:rPr>
          <w:rFonts w:hint="eastAsia" w:ascii="仿宋_GB2312" w:hAnsi="仿宋_GB2312" w:eastAsia="仿宋_GB2312" w:cs="仿宋_GB2312"/>
          <w:color w:val="auto"/>
          <w:sz w:val="32"/>
          <w:szCs w:val="32"/>
          <w:highlight w:val="none"/>
          <w:shd w:val="clear" w:color="auto" w:fill="FFFFFF"/>
          <w:lang w:val="en-US" w:eastAsia="zh-CN"/>
        </w:rPr>
        <w:t>模式</w:t>
      </w:r>
      <w:r>
        <w:rPr>
          <w:rFonts w:hint="eastAsia" w:ascii="仿宋_GB2312" w:hAnsi="仿宋_GB2312" w:eastAsia="仿宋_GB2312" w:cs="仿宋_GB2312"/>
          <w:color w:val="auto"/>
          <w:sz w:val="32"/>
          <w:szCs w:val="32"/>
          <w:highlight w:val="none"/>
          <w:shd w:val="clear" w:color="auto" w:fill="FFFFFF"/>
        </w:rPr>
        <w:t>，实施大数据、大文旅、大健康及先进制造的“三大一先”人才培养战略，动态优化学科专业布局，以精准对接区域产业发展需求</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现设</w:t>
      </w:r>
      <w:r>
        <w:rPr>
          <w:rFonts w:hint="eastAsia" w:ascii="仿宋_GB2312" w:hAnsi="仿宋_GB2312" w:eastAsia="仿宋_GB2312" w:cs="仿宋_GB2312"/>
          <w:color w:val="auto"/>
          <w:sz w:val="32"/>
          <w:szCs w:val="32"/>
          <w:highlight w:val="none"/>
          <w:shd w:val="clear" w:color="auto" w:fill="FFFFFF"/>
          <w:lang w:val="en-US" w:eastAsia="zh-CN"/>
        </w:rPr>
        <w:t>有</w:t>
      </w:r>
      <w:r>
        <w:rPr>
          <w:rFonts w:hint="eastAsia" w:ascii="仿宋_GB2312" w:hAnsi="仿宋_GB2312" w:eastAsia="仿宋_GB2312" w:cs="仿宋_GB2312"/>
          <w:color w:val="auto"/>
          <w:sz w:val="32"/>
          <w:szCs w:val="32"/>
          <w:highlight w:val="none"/>
          <w:shd w:val="clear" w:color="auto" w:fill="FFFFFF"/>
        </w:rPr>
        <w:t>6个</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（信息工程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、数字传媒</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、健康管理</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、智能工程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、土木工程</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、经济管理</w:t>
      </w:r>
      <w:r>
        <w:rPr>
          <w:rFonts w:hint="eastAsia" w:ascii="仿宋_GB2312" w:hAnsi="仿宋_GB2312" w:eastAsia="仿宋_GB2312" w:cs="仿宋_GB2312"/>
          <w:color w:val="auto"/>
          <w:sz w:val="32"/>
          <w:szCs w:val="32"/>
          <w:highlight w:val="none"/>
          <w:shd w:val="clear" w:color="auto" w:fill="FFFFFF"/>
          <w:lang w:val="en-US" w:eastAsia="zh-CN"/>
        </w:rPr>
        <w:t>学院</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个教学部（思政教学部</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lang w:val="en-US" w:eastAsia="zh-CN"/>
        </w:rPr>
        <w:t>公共教学部</w:t>
      </w:r>
      <w:r>
        <w:rPr>
          <w:rFonts w:hint="eastAsia" w:ascii="仿宋_GB2312" w:hAnsi="仿宋_GB2312" w:eastAsia="仿宋_GB2312" w:cs="仿宋_GB2312"/>
          <w:color w:val="auto"/>
          <w:sz w:val="32"/>
          <w:szCs w:val="32"/>
          <w:highlight w:val="none"/>
          <w:shd w:val="clear" w:color="auto" w:fill="FFFFFF"/>
        </w:rPr>
        <w:t>），涵盖了工学、教育学、文学、理学、管理学、艺术学六大学科门类</w:t>
      </w:r>
      <w:r>
        <w:rPr>
          <w:rFonts w:hint="eastAsia" w:ascii="仿宋_GB2312" w:hAnsi="仿宋_GB2312" w:eastAsia="仿宋_GB2312" w:cs="仿宋_GB2312"/>
          <w:color w:val="auto"/>
          <w:sz w:val="32"/>
          <w:szCs w:val="32"/>
          <w:highlight w:val="none"/>
          <w:shd w:val="clear" w:color="auto" w:fill="FFFFFF"/>
          <w:lang w:val="en-US" w:eastAsia="zh-CN"/>
        </w:rPr>
        <w:t>共计40个本科专业</w:t>
      </w:r>
      <w:r>
        <w:rPr>
          <w:rFonts w:hint="eastAsia" w:ascii="仿宋_GB2312" w:hAnsi="仿宋_GB2312" w:eastAsia="仿宋_GB2312" w:cs="仿宋_GB2312"/>
          <w:color w:val="auto"/>
          <w:sz w:val="32"/>
          <w:szCs w:val="32"/>
          <w:highlight w:val="none"/>
          <w:shd w:val="clear" w:color="auto" w:fill="FFFFFF"/>
        </w:rPr>
        <w:t>。</w:t>
      </w:r>
    </w:p>
    <w:p w14:paraId="51D025D7">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近年来，学校形成了以工科为主、多学科发展的学科专业布局，在学科专业建设、人才培养、师资队伍建设、国际交流与合作、基础设施与公共服务体系等方面都取得了长足的发展。获得省级教学成果奖5项（其中一等奖1项，二等奖1项，三等奖3项）；省级金课12门，省级金师1人。近两年在教育部规定的各项赛事中获得国家级奖项130项，省级奖项541项。</w:t>
      </w:r>
    </w:p>
    <w:p w14:paraId="4BA403E7">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default"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学校是贵州省首个获得留学生招生资质的民办本科院校，拥有省级高校心理健康教育与咨询示范中心、省级双创示范基地，获“中国教育在线2023年度贵州省最受中学认可本科高校”称号，获“2024中国民办教育百强称号”等。学校</w:t>
      </w:r>
      <w:r>
        <w:rPr>
          <w:rFonts w:hint="eastAsia" w:ascii="仿宋_GB2312" w:hAnsi="仿宋_GB2312" w:eastAsia="仿宋_GB2312" w:cs="仿宋_GB2312"/>
          <w:color w:val="auto"/>
          <w:sz w:val="32"/>
          <w:szCs w:val="32"/>
          <w:highlight w:val="none"/>
          <w:shd w:val="clear" w:color="auto" w:fill="FFFFFF"/>
          <w:rtl w:val="0"/>
          <w:lang w:val="en-US" w:eastAsia="zh-CN"/>
        </w:rPr>
        <w:t>位列金平果2025综合竞争力民办院校排行榜第39名、</w:t>
      </w:r>
      <w:r>
        <w:rPr>
          <w:rFonts w:hint="eastAsia" w:ascii="仿宋_GB2312" w:hAnsi="仿宋_GB2312" w:eastAsia="仿宋_GB2312" w:cs="仿宋_GB2312"/>
          <w:color w:val="auto"/>
          <w:sz w:val="32"/>
          <w:szCs w:val="32"/>
          <w:highlight w:val="none"/>
          <w:shd w:val="clear" w:color="auto" w:fill="FFFFFF"/>
          <w:rtl w:val="0"/>
          <w:lang w:val="zh-CN" w:eastAsia="zh-CN"/>
        </w:rPr>
        <w:t>艾瑞深校友会中国民办大学排行榜（Ⅱ类）</w:t>
      </w:r>
      <w:r>
        <w:rPr>
          <w:rFonts w:hint="eastAsia" w:ascii="仿宋_GB2312" w:hAnsi="仿宋_GB2312" w:eastAsia="仿宋_GB2312" w:cs="仿宋_GB2312"/>
          <w:color w:val="auto"/>
          <w:sz w:val="32"/>
          <w:szCs w:val="32"/>
          <w:highlight w:val="none"/>
          <w:shd w:val="clear" w:color="auto" w:fill="FFFFFF"/>
          <w:rtl w:val="0"/>
          <w:lang w:val="en-US" w:eastAsia="zh-CN"/>
        </w:rPr>
        <w:t>第42名、ABC全国民办大学排名全国第69名，居于贵州民办高校前列。</w:t>
      </w:r>
    </w:p>
    <w:p w14:paraId="60CB25D6">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学校办学至今，共培养了</w:t>
      </w:r>
      <w:r>
        <w:rPr>
          <w:rFonts w:hint="eastAsia" w:ascii="仿宋_GB2312" w:hAnsi="仿宋_GB2312" w:eastAsia="仿宋_GB2312" w:cs="仿宋_GB2312"/>
          <w:color w:val="auto"/>
          <w:sz w:val="32"/>
          <w:szCs w:val="32"/>
          <w:highlight w:val="none"/>
          <w:shd w:val="clear" w:color="auto" w:fill="FFFFFF"/>
          <w:lang w:val="en-US" w:eastAsia="zh-CN"/>
        </w:rPr>
        <w:t>4万余名</w:t>
      </w:r>
      <w:r>
        <w:rPr>
          <w:rFonts w:hint="eastAsia" w:ascii="仿宋_GB2312" w:hAnsi="仿宋_GB2312" w:eastAsia="仿宋_GB2312" w:cs="仿宋_GB2312"/>
          <w:color w:val="auto"/>
          <w:sz w:val="32"/>
          <w:szCs w:val="32"/>
          <w:highlight w:val="none"/>
          <w:shd w:val="clear" w:color="auto" w:fill="FFFFFF"/>
        </w:rPr>
        <w:t>毕业生，为地方经济发展做出了应有贡献。学校始终将就业</w:t>
      </w:r>
      <w:r>
        <w:rPr>
          <w:rFonts w:hint="eastAsia" w:ascii="仿宋_GB2312" w:hAnsi="仿宋_GB2312" w:eastAsia="仿宋_GB2312" w:cs="仿宋_GB2312"/>
          <w:color w:val="auto"/>
          <w:sz w:val="32"/>
          <w:szCs w:val="32"/>
          <w:highlight w:val="none"/>
          <w:shd w:val="clear" w:color="auto" w:fill="FFFFFF"/>
          <w:lang w:val="en-US" w:eastAsia="zh-CN"/>
        </w:rPr>
        <w:t>工作</w:t>
      </w:r>
      <w:r>
        <w:rPr>
          <w:rFonts w:hint="eastAsia" w:ascii="仿宋_GB2312" w:hAnsi="仿宋_GB2312" w:eastAsia="仿宋_GB2312" w:cs="仿宋_GB2312"/>
          <w:color w:val="auto"/>
          <w:sz w:val="32"/>
          <w:szCs w:val="32"/>
          <w:highlight w:val="none"/>
          <w:shd w:val="clear" w:color="auto" w:fill="FFFFFF"/>
        </w:rPr>
        <w:t>贯穿人才培养</w:t>
      </w:r>
      <w:r>
        <w:rPr>
          <w:rFonts w:hint="eastAsia" w:ascii="仿宋_GB2312" w:hAnsi="仿宋_GB2312" w:eastAsia="仿宋_GB2312" w:cs="仿宋_GB2312"/>
          <w:color w:val="auto"/>
          <w:sz w:val="32"/>
          <w:szCs w:val="32"/>
          <w:highlight w:val="none"/>
          <w:shd w:val="clear" w:color="auto" w:fill="FFFFFF"/>
          <w:lang w:val="en-US" w:eastAsia="zh-CN"/>
        </w:rPr>
        <w:t>全</w:t>
      </w:r>
      <w:r>
        <w:rPr>
          <w:rFonts w:hint="eastAsia" w:ascii="仿宋_GB2312" w:hAnsi="仿宋_GB2312" w:eastAsia="仿宋_GB2312" w:cs="仿宋_GB2312"/>
          <w:color w:val="auto"/>
          <w:sz w:val="32"/>
          <w:szCs w:val="32"/>
          <w:highlight w:val="none"/>
          <w:shd w:val="clear" w:color="auto" w:fill="FFFFFF"/>
        </w:rPr>
        <w:t>过程，用就业指导招生</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近年来，毕业生年终就业率均超过95%，部分工科专业就业率连续多年超过98%，在全省本科院校中名列前茅。</w:t>
      </w:r>
    </w:p>
    <w:p w14:paraId="726FC389">
      <w:pPr>
        <w:keepNext w:val="0"/>
        <w:keepLines w:val="0"/>
        <w:pageBreakBefore w:val="0"/>
        <w:kinsoku/>
        <w:wordWrap/>
        <w:overflowPunct/>
        <w:topLinePunct w:val="0"/>
        <w:autoSpaceDE/>
        <w:autoSpaceDN/>
        <w:bidi w:val="0"/>
        <w:adjustRightInd/>
        <w:snapToGrid w:val="0"/>
        <w:spacing w:line="560" w:lineRule="exact"/>
        <w:ind w:firstLine="640" w:firstLineChars="200"/>
        <w:textAlignment w:val="baseline"/>
        <w:rPr>
          <w:rFonts w:hint="eastAsia" w:ascii="仿宋_GB2312" w:hAnsi="仿宋_GB2312" w:eastAsia="仿宋_GB2312" w:cs="仿宋_GB2312"/>
          <w:color w:val="auto"/>
          <w:sz w:val="28"/>
          <w:szCs w:val="28"/>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学校正朝着成为</w:t>
      </w:r>
      <w:r>
        <w:rPr>
          <w:rFonts w:hint="eastAsia" w:ascii="仿宋_GB2312" w:hAnsi="仿宋_GB2312" w:eastAsia="仿宋_GB2312" w:cs="仿宋_GB2312"/>
          <w:b/>
          <w:bCs/>
          <w:color w:val="auto"/>
          <w:sz w:val="32"/>
          <w:szCs w:val="32"/>
          <w:highlight w:val="none"/>
          <w:shd w:val="clear" w:color="auto" w:fill="FFFFFF"/>
          <w:lang w:val="en-US" w:eastAsia="zh-CN"/>
        </w:rPr>
        <w:t>产教融合示范高校</w:t>
      </w:r>
      <w:r>
        <w:rPr>
          <w:rFonts w:hint="eastAsia" w:ascii="仿宋_GB2312" w:hAnsi="仿宋_GB2312" w:eastAsia="仿宋_GB2312" w:cs="仿宋_GB2312"/>
          <w:b/>
          <w:bCs/>
          <w:color w:val="auto"/>
          <w:sz w:val="32"/>
          <w:szCs w:val="32"/>
          <w:highlight w:val="none"/>
          <w:shd w:val="clear" w:color="auto" w:fill="FFFFFF"/>
        </w:rPr>
        <w:t>和区域高水平</w:t>
      </w:r>
      <w:r>
        <w:rPr>
          <w:rFonts w:hint="eastAsia" w:ascii="仿宋_GB2312" w:hAnsi="仿宋_GB2312" w:eastAsia="仿宋_GB2312" w:cs="仿宋_GB2312"/>
          <w:b/>
          <w:bCs/>
          <w:color w:val="auto"/>
          <w:sz w:val="32"/>
          <w:szCs w:val="32"/>
          <w:highlight w:val="none"/>
          <w:shd w:val="clear" w:color="auto" w:fill="FFFFFF"/>
          <w:lang w:val="en-US" w:eastAsia="zh-CN"/>
        </w:rPr>
        <w:t>应用型民办</w:t>
      </w:r>
      <w:r>
        <w:rPr>
          <w:rFonts w:hint="eastAsia" w:ascii="仿宋_GB2312" w:hAnsi="仿宋_GB2312" w:eastAsia="仿宋_GB2312" w:cs="仿宋_GB2312"/>
          <w:b/>
          <w:bCs/>
          <w:color w:val="auto"/>
          <w:sz w:val="32"/>
          <w:szCs w:val="32"/>
          <w:highlight w:val="none"/>
          <w:shd w:val="clear" w:color="auto" w:fill="FFFFFF"/>
        </w:rPr>
        <w:t>大学</w:t>
      </w:r>
      <w:r>
        <w:rPr>
          <w:rFonts w:hint="eastAsia" w:ascii="仿宋_GB2312" w:hAnsi="仿宋_GB2312" w:eastAsia="仿宋_GB2312" w:cs="仿宋_GB2312"/>
          <w:color w:val="auto"/>
          <w:sz w:val="32"/>
          <w:szCs w:val="32"/>
          <w:highlight w:val="none"/>
          <w:shd w:val="clear" w:color="auto" w:fill="FFFFFF"/>
        </w:rPr>
        <w:t>的目标不断前行，持续为地方经济发展和社会全面进步培养具有高职业素质、高专业能力和拥有较完备知识体系的创新型、应用型专业人才。</w:t>
      </w:r>
    </w:p>
    <w:sectPr>
      <w:footerReference r:id="rId3" w:type="default"/>
      <w:pgSz w:w="11906" w:h="16838"/>
      <w:pgMar w:top="2098" w:right="1474" w:bottom="1984" w:left="1587"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18FE24CF-B9C5-4A69-90A5-25764923A4CE}"/>
  </w:font>
  <w:font w:name="方正小标宋简体">
    <w:panose1 w:val="02010600010101010101"/>
    <w:charset w:val="86"/>
    <w:family w:val="auto"/>
    <w:pitch w:val="default"/>
    <w:sig w:usb0="00000001" w:usb1="080E0000" w:usb2="00000000" w:usb3="00000000" w:csb0="00040000" w:csb1="00000000"/>
    <w:embedRegular r:id="rId2" w:fontKey="{41BA89A9-8CE3-4EDE-AE54-BCD652C71BA1}"/>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228F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8D11AF">
                          <w:pPr>
                            <w:pStyle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8D11AF">
                    <w:pPr>
                      <w:pStyle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hNjJiN2E1Mjg2M2NhYjU3MDE3NjVlOGRmYWE5YTQifQ=="/>
  </w:docVars>
  <w:rsids>
    <w:rsidRoot w:val="766470DC"/>
    <w:rsid w:val="001F6DE3"/>
    <w:rsid w:val="003E083A"/>
    <w:rsid w:val="007721C1"/>
    <w:rsid w:val="00CE20E4"/>
    <w:rsid w:val="00F90511"/>
    <w:rsid w:val="042D7239"/>
    <w:rsid w:val="04AD3640"/>
    <w:rsid w:val="068C5C42"/>
    <w:rsid w:val="07D578FF"/>
    <w:rsid w:val="088B2ED5"/>
    <w:rsid w:val="0B251D11"/>
    <w:rsid w:val="0C145E56"/>
    <w:rsid w:val="0D0B5B12"/>
    <w:rsid w:val="10B149F3"/>
    <w:rsid w:val="10DD77C5"/>
    <w:rsid w:val="11FE1C04"/>
    <w:rsid w:val="1542305C"/>
    <w:rsid w:val="162C3809"/>
    <w:rsid w:val="17845731"/>
    <w:rsid w:val="17D822F2"/>
    <w:rsid w:val="19A44116"/>
    <w:rsid w:val="1BBE195B"/>
    <w:rsid w:val="1C50766F"/>
    <w:rsid w:val="1CDA3905"/>
    <w:rsid w:val="24AB32DF"/>
    <w:rsid w:val="24B26347"/>
    <w:rsid w:val="29654BE3"/>
    <w:rsid w:val="2FD81082"/>
    <w:rsid w:val="33B862CC"/>
    <w:rsid w:val="36A159DC"/>
    <w:rsid w:val="3707514A"/>
    <w:rsid w:val="376676D8"/>
    <w:rsid w:val="382A47D8"/>
    <w:rsid w:val="38D75332"/>
    <w:rsid w:val="3B052729"/>
    <w:rsid w:val="3D8E52CE"/>
    <w:rsid w:val="40907B5C"/>
    <w:rsid w:val="40AE0BE3"/>
    <w:rsid w:val="4165121F"/>
    <w:rsid w:val="43CF40B9"/>
    <w:rsid w:val="497D499A"/>
    <w:rsid w:val="4A7069C5"/>
    <w:rsid w:val="4BD94546"/>
    <w:rsid w:val="4CF1481A"/>
    <w:rsid w:val="521B5626"/>
    <w:rsid w:val="549F610D"/>
    <w:rsid w:val="554461F7"/>
    <w:rsid w:val="555B2AEA"/>
    <w:rsid w:val="5614773D"/>
    <w:rsid w:val="581A61D6"/>
    <w:rsid w:val="5C0E0C94"/>
    <w:rsid w:val="5EF37A48"/>
    <w:rsid w:val="5F0A6C8C"/>
    <w:rsid w:val="5FF907AD"/>
    <w:rsid w:val="619C0D91"/>
    <w:rsid w:val="619F582F"/>
    <w:rsid w:val="63247F09"/>
    <w:rsid w:val="64B9624A"/>
    <w:rsid w:val="68C20522"/>
    <w:rsid w:val="68C2737D"/>
    <w:rsid w:val="6B8545B3"/>
    <w:rsid w:val="6E8812A6"/>
    <w:rsid w:val="6E9D2A06"/>
    <w:rsid w:val="6F607976"/>
    <w:rsid w:val="6FD451F8"/>
    <w:rsid w:val="716F0EE9"/>
    <w:rsid w:val="723143F0"/>
    <w:rsid w:val="73D24912"/>
    <w:rsid w:val="745052DA"/>
    <w:rsid w:val="766470DC"/>
    <w:rsid w:val="77F91274"/>
    <w:rsid w:val="7B1A6B6D"/>
    <w:rsid w:val="7BA10103"/>
    <w:rsid w:val="7BB44AF4"/>
    <w:rsid w:val="7DA62273"/>
    <w:rsid w:val="7FBD5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customStyle="1" w:styleId="9">
    <w:name w:val="页眉 Char"/>
    <w:basedOn w:val="7"/>
    <w:link w:val="4"/>
    <w:qFormat/>
    <w:uiPriority w:val="0"/>
    <w:rPr>
      <w:kern w:val="2"/>
      <w:sz w:val="18"/>
      <w:szCs w:val="18"/>
    </w:rPr>
  </w:style>
  <w:style w:type="character" w:customStyle="1" w:styleId="10">
    <w:name w:val="页脚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1375</Words>
  <Characters>1479</Characters>
  <Lines>10</Lines>
  <Paragraphs>3</Paragraphs>
  <TotalTime>57</TotalTime>
  <ScaleCrop>false</ScaleCrop>
  <LinksUpToDate>false</LinksUpToDate>
  <CharactersWithSpaces>1485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2023-03-02T08:49:00Z</dcterms:created>
  <dc:creator>FuhAo</dc:creator>
  <cp:lastModifiedBy>王三石</cp:lastModifiedBy>
  <cp:lastPrinted>2025-06-11T01:11:00Z</cp:lastPrinted>
  <dcterms:modified xsi:type="dcterms:W3CDTF">2026-03-14T03:00:32Z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8EB4AE18519D4BB3B6F3BB8BEFE229CA_13</vt:lpwstr>
  </property>
  <property fmtid="{D5CDD505-2E9C-101B-9397-08002B2CF9AE}" pid="4" name="KSOTemplateDocerSaveRecord">
    <vt:lpwstr>eyJoZGlkIjoiMjM1ODY0MDNiZmUxOGQ2YmI4ZWMyOTIwOGNlY2JkMWEiLCJ1c2VySWQiOiIzNzY0MzQ1MTUifQ==</vt:lpwstr>
  </property>
</Properties>
</file>